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66" w:rsidRPr="00AE1A66" w:rsidRDefault="00AE1A66" w:rsidP="00AE1A66">
      <w:pPr>
        <w:pStyle w:val="Bezproreda"/>
      </w:pPr>
      <w:r>
        <w:rPr>
          <w:sz w:val="28"/>
          <w:szCs w:val="28"/>
        </w:rPr>
        <w:t xml:space="preserve">      </w:t>
      </w:r>
      <w:r w:rsidRPr="00AE1A66">
        <w:t>R E P U B L I K A    H R V A T S K A</w:t>
      </w:r>
    </w:p>
    <w:p w:rsidR="00AE1A66" w:rsidRPr="00AE1A66" w:rsidRDefault="00AE1A66" w:rsidP="00AE1A66">
      <w:pPr>
        <w:pStyle w:val="Bezproreda"/>
      </w:pPr>
      <w:r w:rsidRPr="00AE1A66">
        <w:t xml:space="preserve">KOPRIVNIČKO-KRIŽEVAČKA ŽUPANIJA </w:t>
      </w:r>
    </w:p>
    <w:p w:rsidR="00AE1A66" w:rsidRPr="00AE1A66" w:rsidRDefault="00AE1A66" w:rsidP="00AE1A66">
      <w:pPr>
        <w:pStyle w:val="Bezproreda"/>
      </w:pPr>
      <w:r w:rsidRPr="00AE1A66">
        <w:t xml:space="preserve">  OSNOVNA ŠKOLA FERDINANDOVAC</w:t>
      </w:r>
    </w:p>
    <w:p w:rsidR="00AE1A66" w:rsidRPr="00AE1A66" w:rsidRDefault="00AE1A66" w:rsidP="00AE1A66">
      <w:pPr>
        <w:pStyle w:val="Bezproreda"/>
      </w:pPr>
      <w:r w:rsidRPr="00AE1A66">
        <w:t xml:space="preserve">                   FERDINANDOVAC</w:t>
      </w:r>
      <w:r w:rsidRPr="00AE1A66">
        <w:tab/>
      </w:r>
    </w:p>
    <w:p w:rsidR="00AE1A66" w:rsidRPr="00AE1A66" w:rsidRDefault="00AE1A66" w:rsidP="00AE1A66"/>
    <w:p w:rsidR="00AE1A66" w:rsidRPr="00AE1A66" w:rsidRDefault="00051315" w:rsidP="00AE1A66">
      <w:pPr>
        <w:pStyle w:val="Bezproreda"/>
      </w:pPr>
      <w:r>
        <w:t xml:space="preserve">KLASA: </w:t>
      </w:r>
      <w:r w:rsidR="00913951">
        <w:t>400-07/24-01/</w:t>
      </w:r>
      <w:proofErr w:type="spellStart"/>
      <w:r w:rsidR="00913951">
        <w:t>01</w:t>
      </w:r>
      <w:proofErr w:type="spellEnd"/>
    </w:p>
    <w:p w:rsidR="00AE1A66" w:rsidRPr="00AE1A66" w:rsidRDefault="00051315" w:rsidP="00AE1A66">
      <w:pPr>
        <w:pStyle w:val="Bezproreda"/>
      </w:pPr>
      <w:r>
        <w:t xml:space="preserve">URBROJ: </w:t>
      </w:r>
      <w:r w:rsidR="00913951">
        <w:t>2137-40-24-1</w:t>
      </w:r>
    </w:p>
    <w:p w:rsidR="00AE1A66" w:rsidRPr="00AE1A66" w:rsidRDefault="00D2562B">
      <w:r>
        <w:t xml:space="preserve">Ferdinandovac, </w:t>
      </w:r>
      <w:r w:rsidR="00913951">
        <w:t>06.03.2024.</w:t>
      </w:r>
    </w:p>
    <w:p w:rsidR="007F7F20" w:rsidRPr="00354999" w:rsidRDefault="00540C27">
      <w:r w:rsidRPr="00AE1A66">
        <w:t>Na temelju članka 35</w:t>
      </w:r>
      <w:r w:rsidR="00C637F8" w:rsidRPr="00AE1A66">
        <w:t>. Statu</w:t>
      </w:r>
      <w:r w:rsidR="00AE1A66" w:rsidRPr="00AE1A66">
        <w:t xml:space="preserve">ta Osnovne škole Ferdinandovac </w:t>
      </w:r>
      <w:r w:rsidR="00C637F8" w:rsidRPr="00AE1A66">
        <w:t>Školski odbor Osnovne škole Ferdinandovac</w:t>
      </w:r>
      <w:r w:rsidR="007F7F20" w:rsidRPr="00AE1A66">
        <w:t xml:space="preserve"> na </w:t>
      </w:r>
      <w:r w:rsidR="00913951">
        <w:t>38</w:t>
      </w:r>
      <w:r w:rsidR="009E4FB0" w:rsidRPr="00AE1A66">
        <w:t>.</w:t>
      </w:r>
      <w:r w:rsidR="007F7F20" w:rsidRPr="00AE1A66">
        <w:t xml:space="preserve"> sjednici održanoj</w:t>
      </w:r>
      <w:r w:rsidR="00847A67" w:rsidRPr="00AE1A66">
        <w:t xml:space="preserve"> </w:t>
      </w:r>
      <w:r w:rsidR="00913951">
        <w:t>06.03.2024.</w:t>
      </w:r>
      <w:r w:rsidR="007F7F20" w:rsidRPr="00AE1A66">
        <w:t xml:space="preserve"> godine, donio je</w:t>
      </w:r>
    </w:p>
    <w:p w:rsidR="007F7F20" w:rsidRPr="007F7F20" w:rsidRDefault="007F7F20" w:rsidP="007F7F20">
      <w:pPr>
        <w:jc w:val="center"/>
        <w:rPr>
          <w:b/>
        </w:rPr>
      </w:pPr>
      <w:r w:rsidRPr="007F7F20">
        <w:rPr>
          <w:b/>
        </w:rPr>
        <w:t>O D L U K U</w:t>
      </w:r>
    </w:p>
    <w:p w:rsidR="00D106F7" w:rsidRPr="007F7F20" w:rsidRDefault="008C4018" w:rsidP="00AE1A66">
      <w:pPr>
        <w:jc w:val="center"/>
        <w:rPr>
          <w:b/>
        </w:rPr>
      </w:pPr>
      <w:r>
        <w:rPr>
          <w:b/>
        </w:rPr>
        <w:t>o</w:t>
      </w:r>
      <w:r w:rsidR="007F7F20" w:rsidRPr="007F7F20">
        <w:rPr>
          <w:b/>
        </w:rPr>
        <w:t xml:space="preserve"> raspodj</w:t>
      </w:r>
      <w:r w:rsidR="008F0E91">
        <w:rPr>
          <w:b/>
        </w:rPr>
        <w:t xml:space="preserve">eli rezultata poslovanja </w:t>
      </w:r>
      <w:r>
        <w:rPr>
          <w:b/>
        </w:rPr>
        <w:t xml:space="preserve">Osnovne škole Ferdinandovac </w:t>
      </w:r>
      <w:r w:rsidR="00B6279B">
        <w:rPr>
          <w:b/>
        </w:rPr>
        <w:t>za 2023</w:t>
      </w:r>
      <w:r w:rsidR="007F7F20" w:rsidRPr="007F7F20">
        <w:rPr>
          <w:b/>
        </w:rPr>
        <w:t xml:space="preserve">. </w:t>
      </w:r>
      <w:r w:rsidR="007F7F20">
        <w:rPr>
          <w:b/>
        </w:rPr>
        <w:t>g</w:t>
      </w:r>
      <w:r w:rsidR="007F7F20" w:rsidRPr="007F7F20">
        <w:rPr>
          <w:b/>
        </w:rPr>
        <w:t>odinu</w:t>
      </w:r>
    </w:p>
    <w:p w:rsidR="007F7F20" w:rsidRPr="00D106F7" w:rsidRDefault="00D106F7" w:rsidP="00D106F7">
      <w:pPr>
        <w:jc w:val="center"/>
      </w:pPr>
      <w:r w:rsidRPr="00D106F7">
        <w:t>I.</w:t>
      </w:r>
    </w:p>
    <w:p w:rsidR="00D106F7" w:rsidRDefault="007F7F20">
      <w:r>
        <w:tab/>
        <w:t xml:space="preserve">Ovom Odlukom  </w:t>
      </w:r>
      <w:r w:rsidR="00D106F7">
        <w:t>utvrđuje se rezultat poslovanja i</w:t>
      </w:r>
      <w:r>
        <w:t xml:space="preserve"> raspodjela rezultata poslovanja</w:t>
      </w:r>
      <w:r w:rsidR="00D106F7">
        <w:t xml:space="preserve"> utvrđenog f</w:t>
      </w:r>
      <w:r w:rsidR="00B6279B">
        <w:t>inancijskim izvještajima za 2023</w:t>
      </w:r>
      <w:r w:rsidR="00D106F7">
        <w:t>. godinu.</w:t>
      </w:r>
    </w:p>
    <w:p w:rsidR="00D106F7" w:rsidRDefault="00D106F7" w:rsidP="007C4E6A">
      <w:pPr>
        <w:jc w:val="center"/>
      </w:pPr>
      <w:r>
        <w:t>II.</w:t>
      </w:r>
    </w:p>
    <w:p w:rsidR="00D106F7" w:rsidRDefault="00D106F7">
      <w:r>
        <w:tab/>
        <w:t>Stanja na osnovnim računima podskupine 922 koja su iskazana u f</w:t>
      </w:r>
      <w:r w:rsidR="00216499">
        <w:t>inancijskim izvještajima z</w:t>
      </w:r>
      <w:r w:rsidR="00D2562B">
        <w:t>a 2023</w:t>
      </w:r>
      <w:r w:rsidR="00B6279B">
        <w:t>. godinu na dan 31.12.2023</w:t>
      </w:r>
      <w:r>
        <w:t>. utvrđena su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6379"/>
        <w:gridCol w:w="1525"/>
      </w:tblGrid>
      <w:tr w:rsidR="007C4E6A" w:rsidTr="007C4E6A">
        <w:tc>
          <w:tcPr>
            <w:tcW w:w="1384" w:type="dxa"/>
          </w:tcPr>
          <w:p w:rsidR="007C4E6A" w:rsidRDefault="007C4E6A" w:rsidP="009E2496">
            <w:pPr>
              <w:jc w:val="center"/>
            </w:pPr>
            <w:r>
              <w:t>Broj računa</w:t>
            </w:r>
          </w:p>
        </w:tc>
        <w:tc>
          <w:tcPr>
            <w:tcW w:w="6379" w:type="dxa"/>
          </w:tcPr>
          <w:p w:rsidR="007C4E6A" w:rsidRDefault="007C4E6A" w:rsidP="009E2496">
            <w:pPr>
              <w:jc w:val="center"/>
            </w:pPr>
            <w:r>
              <w:t>Naziv računa</w:t>
            </w:r>
          </w:p>
        </w:tc>
        <w:tc>
          <w:tcPr>
            <w:tcW w:w="1525" w:type="dxa"/>
          </w:tcPr>
          <w:p w:rsidR="007C4E6A" w:rsidRDefault="00E62657" w:rsidP="009E2496">
            <w:pPr>
              <w:jc w:val="center"/>
            </w:pPr>
            <w:r>
              <w:t xml:space="preserve">Iznos, </w:t>
            </w:r>
            <w:r>
              <w:rPr>
                <w:rFonts w:cstheme="minorHAnsi"/>
              </w:rPr>
              <w:t>€</w:t>
            </w:r>
          </w:p>
        </w:tc>
      </w:tr>
      <w:tr w:rsidR="007C4E6A" w:rsidTr="007C4E6A">
        <w:tc>
          <w:tcPr>
            <w:tcW w:w="1384" w:type="dxa"/>
          </w:tcPr>
          <w:p w:rsidR="007C4E6A" w:rsidRDefault="00B6279B" w:rsidP="009E2496">
            <w:pPr>
              <w:jc w:val="center"/>
            </w:pPr>
            <w:r>
              <w:t>9222</w:t>
            </w:r>
            <w:r w:rsidR="007C4E6A">
              <w:t>1</w:t>
            </w:r>
          </w:p>
        </w:tc>
        <w:tc>
          <w:tcPr>
            <w:tcW w:w="6379" w:type="dxa"/>
          </w:tcPr>
          <w:p w:rsidR="007C4E6A" w:rsidRDefault="00B6279B" w:rsidP="009E2496">
            <w:pPr>
              <w:jc w:val="center"/>
            </w:pPr>
            <w:r>
              <w:t>Manjak</w:t>
            </w:r>
            <w:r w:rsidR="007C4E6A">
              <w:t xml:space="preserve"> prihoda poslovanja – pre</w:t>
            </w:r>
            <w:bookmarkStart w:id="0" w:name="_GoBack"/>
            <w:bookmarkEnd w:id="0"/>
            <w:r w:rsidR="007C4E6A">
              <w:t>nesen iz prethodnog razdoblja</w:t>
            </w:r>
            <w:r w:rsidR="00F46FA2">
              <w:t xml:space="preserve"> (metodološki manjak)</w:t>
            </w:r>
          </w:p>
        </w:tc>
        <w:tc>
          <w:tcPr>
            <w:tcW w:w="1525" w:type="dxa"/>
          </w:tcPr>
          <w:p w:rsidR="007C4E6A" w:rsidRDefault="00D2562B" w:rsidP="007C4E6A">
            <w:pPr>
              <w:jc w:val="center"/>
            </w:pPr>
            <w:r>
              <w:t>-26.247,00</w:t>
            </w:r>
          </w:p>
        </w:tc>
      </w:tr>
      <w:tr w:rsidR="007C4E6A" w:rsidTr="007C4E6A">
        <w:tc>
          <w:tcPr>
            <w:tcW w:w="1384" w:type="dxa"/>
          </w:tcPr>
          <w:p w:rsidR="007C4E6A" w:rsidRDefault="00B6279B" w:rsidP="009E2496">
            <w:pPr>
              <w:jc w:val="center"/>
            </w:pPr>
            <w:r>
              <w:t>9221</w:t>
            </w:r>
            <w:r w:rsidR="007C4E6A">
              <w:t>1</w:t>
            </w:r>
          </w:p>
        </w:tc>
        <w:tc>
          <w:tcPr>
            <w:tcW w:w="6379" w:type="dxa"/>
          </w:tcPr>
          <w:p w:rsidR="007C4E6A" w:rsidRDefault="00B6279B" w:rsidP="009E2496">
            <w:pPr>
              <w:jc w:val="center"/>
            </w:pPr>
            <w:r>
              <w:t>Višak</w:t>
            </w:r>
            <w:r w:rsidR="007C4E6A">
              <w:t xml:space="preserve"> prihoda poslovanja </w:t>
            </w:r>
            <w:r w:rsidR="007A66C4">
              <w:t xml:space="preserve">ostvaren </w:t>
            </w:r>
            <w:r w:rsidR="00D2562B">
              <w:t>u 2023</w:t>
            </w:r>
            <w:r w:rsidR="007C4E6A">
              <w:t>. godini</w:t>
            </w:r>
          </w:p>
        </w:tc>
        <w:tc>
          <w:tcPr>
            <w:tcW w:w="1525" w:type="dxa"/>
          </w:tcPr>
          <w:p w:rsidR="007C4E6A" w:rsidRDefault="00D2562B" w:rsidP="009E2496">
            <w:pPr>
              <w:jc w:val="center"/>
            </w:pPr>
            <w:r>
              <w:t xml:space="preserve"> 30.326,70</w:t>
            </w:r>
          </w:p>
        </w:tc>
      </w:tr>
      <w:tr w:rsidR="007C4E6A" w:rsidTr="007C4E6A">
        <w:tc>
          <w:tcPr>
            <w:tcW w:w="1384" w:type="dxa"/>
          </w:tcPr>
          <w:p w:rsidR="007C4E6A" w:rsidRDefault="00534170" w:rsidP="009E2496">
            <w:pPr>
              <w:jc w:val="center"/>
            </w:pPr>
            <w:r>
              <w:t>9221</w:t>
            </w:r>
            <w:r w:rsidR="007C4E6A">
              <w:t>1</w:t>
            </w:r>
          </w:p>
        </w:tc>
        <w:tc>
          <w:tcPr>
            <w:tcW w:w="6379" w:type="dxa"/>
          </w:tcPr>
          <w:p w:rsidR="007C4E6A" w:rsidRDefault="00D2562B" w:rsidP="009E2496">
            <w:pPr>
              <w:jc w:val="center"/>
            </w:pPr>
            <w:r>
              <w:t>Višak</w:t>
            </w:r>
            <w:r w:rsidR="007C4E6A">
              <w:t xml:space="preserve"> prihoda</w:t>
            </w:r>
            <w:r>
              <w:t xml:space="preserve"> raspoloživ u </w:t>
            </w:r>
            <w:r w:rsidR="00534170">
              <w:t>sljedećem razdoblju</w:t>
            </w:r>
            <w:r w:rsidR="007C4E6A">
              <w:t xml:space="preserve"> </w:t>
            </w:r>
          </w:p>
        </w:tc>
        <w:tc>
          <w:tcPr>
            <w:tcW w:w="1525" w:type="dxa"/>
          </w:tcPr>
          <w:p w:rsidR="007C4E6A" w:rsidRDefault="00D2562B" w:rsidP="008F0E91">
            <w:pPr>
              <w:jc w:val="center"/>
            </w:pPr>
            <w:r>
              <w:t xml:space="preserve">  4.079,70</w:t>
            </w:r>
          </w:p>
        </w:tc>
      </w:tr>
    </w:tbl>
    <w:p w:rsidR="007C4E6A" w:rsidRDefault="007C4E6A"/>
    <w:p w:rsidR="007A66C4" w:rsidRDefault="00A53CD0" w:rsidP="00684E6F">
      <w:r>
        <w:t xml:space="preserve">Prema izvorima financiranja </w:t>
      </w:r>
      <w:r w:rsidR="007A66C4">
        <w:t>stanje je sljedeće:</w:t>
      </w:r>
    </w:p>
    <w:p w:rsidR="004958A9" w:rsidRDefault="00C53FE9" w:rsidP="00C53FE9">
      <w:pPr>
        <w:pStyle w:val="Odlomakpopisa"/>
        <w:numPr>
          <w:ilvl w:val="0"/>
          <w:numId w:val="1"/>
        </w:numPr>
      </w:pPr>
      <w:r>
        <w:t>31</w:t>
      </w:r>
      <w:r w:rsidR="004958A9">
        <w:t xml:space="preserve"> Vlastiti prihodi PK - uč</w:t>
      </w:r>
      <w:r>
        <w:t>enička zadruga „Iskra“ +</w:t>
      </w:r>
      <w:r w:rsidR="00C47CDA">
        <w:t>207,44</w:t>
      </w:r>
      <w:r w:rsidR="001332CE">
        <w:t xml:space="preserve"> </w:t>
      </w:r>
      <w:r>
        <w:rPr>
          <w:rFonts w:cstheme="minorHAnsi"/>
        </w:rPr>
        <w:t>€</w:t>
      </w:r>
      <w:r w:rsidR="004958A9">
        <w:t>,</w:t>
      </w:r>
    </w:p>
    <w:p w:rsidR="004958A9" w:rsidRDefault="004D5E0C" w:rsidP="00C47CDA">
      <w:pPr>
        <w:pStyle w:val="Odlomakpopisa"/>
        <w:numPr>
          <w:ilvl w:val="0"/>
          <w:numId w:val="1"/>
        </w:numPr>
      </w:pPr>
      <w:r>
        <w:t>31</w:t>
      </w:r>
      <w:r w:rsidR="00FD0B2E">
        <w:t xml:space="preserve"> Vlastiti prihodi PK - na</w:t>
      </w:r>
      <w:r w:rsidR="00C53FE9">
        <w:t xml:space="preserve">jam </w:t>
      </w:r>
      <w:r w:rsidR="00C47CDA">
        <w:t>školske sportske dvorane +219,49</w:t>
      </w:r>
      <w:r w:rsidR="00C53FE9">
        <w:t xml:space="preserve"> </w:t>
      </w:r>
      <w:r w:rsidR="00C53FE9">
        <w:rPr>
          <w:rFonts w:cstheme="minorHAnsi"/>
        </w:rPr>
        <w:t>€</w:t>
      </w:r>
      <w:r w:rsidR="00FD0B2E">
        <w:t>,</w:t>
      </w:r>
    </w:p>
    <w:p w:rsidR="004958A9" w:rsidRDefault="00E62657" w:rsidP="00C47CDA">
      <w:pPr>
        <w:pStyle w:val="Odlomakpopisa"/>
        <w:numPr>
          <w:ilvl w:val="0"/>
          <w:numId w:val="1"/>
        </w:numPr>
      </w:pPr>
      <w:r>
        <w:t>45</w:t>
      </w:r>
      <w:r w:rsidR="004958A9">
        <w:t xml:space="preserve"> Prihodi za posebne namjen</w:t>
      </w:r>
      <w:r w:rsidR="00C47CDA">
        <w:t>e PK - školska kuhinja +2.314,35</w:t>
      </w:r>
      <w:r>
        <w:t xml:space="preserve"> </w:t>
      </w:r>
      <w:r>
        <w:rPr>
          <w:rFonts w:cstheme="minorHAnsi"/>
        </w:rPr>
        <w:t>€</w:t>
      </w:r>
      <w:r w:rsidR="004958A9">
        <w:t>,</w:t>
      </w:r>
    </w:p>
    <w:p w:rsidR="00FD0B2E" w:rsidRDefault="00E62657" w:rsidP="00324B11">
      <w:pPr>
        <w:pStyle w:val="Odlomakpopisa"/>
        <w:numPr>
          <w:ilvl w:val="0"/>
          <w:numId w:val="1"/>
        </w:numPr>
      </w:pPr>
      <w:r>
        <w:t>55</w:t>
      </w:r>
      <w:r w:rsidR="004958A9">
        <w:t xml:space="preserve"> Pomoći proračunskim korisnicima -</w:t>
      </w:r>
      <w:r>
        <w:t xml:space="preserve"> Op</w:t>
      </w:r>
      <w:r w:rsidR="00C47CDA">
        <w:t xml:space="preserve">ćina Ferdinandovac +2.472,75 </w:t>
      </w:r>
      <w:r w:rsidR="00C47CDA">
        <w:rPr>
          <w:rFonts w:cstheme="minorHAnsi"/>
        </w:rPr>
        <w:t>€,</w:t>
      </w:r>
    </w:p>
    <w:p w:rsidR="003A3BA1" w:rsidRDefault="001332CE" w:rsidP="003A3BA1">
      <w:pPr>
        <w:pStyle w:val="Odlomakpopisa"/>
        <w:numPr>
          <w:ilvl w:val="0"/>
          <w:numId w:val="1"/>
        </w:numPr>
      </w:pPr>
      <w:r>
        <w:t>11</w:t>
      </w:r>
      <w:r w:rsidR="003A3BA1">
        <w:t xml:space="preserve"> Županijski proračun iznad zakonskog standarda </w:t>
      </w:r>
      <w:r w:rsidR="00A416FE">
        <w:t>–</w:t>
      </w:r>
      <w:r w:rsidR="00324B11">
        <w:t xml:space="preserve"> </w:t>
      </w:r>
      <w:r w:rsidR="00A416FE">
        <w:t xml:space="preserve">projekt </w:t>
      </w:r>
      <w:r w:rsidR="00324B11">
        <w:t>„Pametan obrok“ -31,53</w:t>
      </w:r>
      <w:r>
        <w:t xml:space="preserve"> </w:t>
      </w:r>
      <w:r>
        <w:rPr>
          <w:rFonts w:cstheme="minorHAnsi"/>
        </w:rPr>
        <w:t>€</w:t>
      </w:r>
      <w:r w:rsidR="003A3BA1" w:rsidRPr="003A4AEF">
        <w:t xml:space="preserve">, </w:t>
      </w:r>
    </w:p>
    <w:p w:rsidR="003A3BA1" w:rsidRDefault="001332CE" w:rsidP="00324B11">
      <w:pPr>
        <w:pStyle w:val="Odlomakpopisa"/>
        <w:numPr>
          <w:ilvl w:val="0"/>
          <w:numId w:val="1"/>
        </w:numPr>
      </w:pPr>
      <w:r>
        <w:t>11</w:t>
      </w:r>
      <w:r w:rsidR="003A3BA1">
        <w:t xml:space="preserve"> Županijski proračun iznad zakonskog standarda – dio R</w:t>
      </w:r>
      <w:r>
        <w:t xml:space="preserve">N </w:t>
      </w:r>
      <w:r w:rsidR="0043016D">
        <w:t xml:space="preserve">energenti </w:t>
      </w:r>
      <w:r w:rsidR="00324B11">
        <w:t xml:space="preserve">-1.343,80  </w:t>
      </w:r>
      <w:r w:rsidR="00324B11">
        <w:rPr>
          <w:rFonts w:cstheme="minorHAnsi"/>
        </w:rPr>
        <w:t>€</w:t>
      </w:r>
      <w:r w:rsidR="00324B11" w:rsidRPr="003A4AEF">
        <w:t>,</w:t>
      </w:r>
    </w:p>
    <w:p w:rsidR="003A3BA1" w:rsidRDefault="00C17FDF" w:rsidP="003A3BA1">
      <w:pPr>
        <w:pStyle w:val="Odlomakpopisa"/>
        <w:numPr>
          <w:ilvl w:val="0"/>
          <w:numId w:val="1"/>
        </w:numPr>
      </w:pPr>
      <w:r>
        <w:t>12</w:t>
      </w:r>
      <w:r w:rsidR="004958A9">
        <w:t xml:space="preserve"> Županijski prora</w:t>
      </w:r>
      <w:r w:rsidR="0043016D">
        <w:t>čun zakonski standard -3.215,68</w:t>
      </w:r>
      <w:r>
        <w:t xml:space="preserve"> </w:t>
      </w:r>
      <w:r>
        <w:rPr>
          <w:rFonts w:cstheme="minorHAnsi"/>
        </w:rPr>
        <w:t>€</w:t>
      </w:r>
      <w:r w:rsidR="004958A9">
        <w:t>,</w:t>
      </w:r>
      <w:r w:rsidR="004958A9" w:rsidRPr="003A4AEF">
        <w:t xml:space="preserve"> </w:t>
      </w:r>
    </w:p>
    <w:p w:rsidR="004958A9" w:rsidRDefault="00D10A53" w:rsidP="00D10A53">
      <w:pPr>
        <w:pStyle w:val="Odlomakpopisa"/>
        <w:numPr>
          <w:ilvl w:val="0"/>
          <w:numId w:val="1"/>
        </w:numPr>
      </w:pPr>
      <w:r>
        <w:t xml:space="preserve">55 Državni proračun - </w:t>
      </w:r>
      <w:r w:rsidR="00AE58EF">
        <w:t xml:space="preserve"> </w:t>
      </w:r>
      <w:r>
        <w:t xml:space="preserve">prehrana učenika </w:t>
      </w:r>
      <w:r w:rsidR="00A416FE">
        <w:t>2.483,82</w:t>
      </w:r>
      <w:r w:rsidR="00AE58EF">
        <w:t xml:space="preserve"> </w:t>
      </w:r>
      <w:r w:rsidR="00AE58EF" w:rsidRPr="00D10A53">
        <w:rPr>
          <w:rFonts w:cstheme="minorHAnsi"/>
        </w:rPr>
        <w:t>€</w:t>
      </w:r>
      <w:r w:rsidR="00A416FE">
        <w:t>,</w:t>
      </w:r>
    </w:p>
    <w:p w:rsidR="00A416FE" w:rsidRDefault="00A416FE" w:rsidP="00D10A53">
      <w:pPr>
        <w:pStyle w:val="Odlomakpopisa"/>
        <w:numPr>
          <w:ilvl w:val="0"/>
          <w:numId w:val="1"/>
        </w:numPr>
      </w:pPr>
      <w:r>
        <w:t xml:space="preserve">55 Državni proračun – projekt „Temeljne vještine“ 972,86 </w:t>
      </w:r>
      <w:r w:rsidRPr="00D10A53">
        <w:rPr>
          <w:rFonts w:cstheme="minorHAnsi"/>
        </w:rPr>
        <w:t>€</w:t>
      </w:r>
      <w:r>
        <w:t>.</w:t>
      </w:r>
    </w:p>
    <w:p w:rsidR="004958A9" w:rsidRDefault="004958A9" w:rsidP="004958A9">
      <w:pPr>
        <w:pStyle w:val="Odlomakpopisa"/>
      </w:pPr>
    </w:p>
    <w:p w:rsidR="005832DD" w:rsidRDefault="005832DD" w:rsidP="003A4AEF">
      <w:pPr>
        <w:pStyle w:val="Odlomakpopisa"/>
        <w:jc w:val="center"/>
      </w:pPr>
      <w:r>
        <w:t>III.</w:t>
      </w:r>
    </w:p>
    <w:p w:rsidR="005832DD" w:rsidRPr="001D5EAE" w:rsidRDefault="005832DD" w:rsidP="00FE0205">
      <w:pPr>
        <w:ind w:firstLine="708"/>
      </w:pPr>
      <w:r>
        <w:t>Višak prihoda poslov</w:t>
      </w:r>
      <w:r w:rsidR="0009058F">
        <w:t>anja po izvorima financiranja</w:t>
      </w:r>
      <w:r>
        <w:t xml:space="preserve"> prenosi</w:t>
      </w:r>
      <w:r w:rsidR="0009058F">
        <w:t xml:space="preserve"> se</w:t>
      </w:r>
      <w:r>
        <w:t xml:space="preserve"> u sljedeće razdoblje i trošit će se</w:t>
      </w:r>
      <w:r w:rsidR="00AE1A66">
        <w:t xml:space="preserve"> </w:t>
      </w:r>
      <w:r w:rsidR="00C62533">
        <w:t>prema Odluci o trošenju viška financijskih sredstava po izvorima financiranja</w:t>
      </w:r>
      <w:r w:rsidR="0043016D">
        <w:t xml:space="preserve"> iz 2023</w:t>
      </w:r>
      <w:r w:rsidR="00964891">
        <w:t xml:space="preserve">. </w:t>
      </w:r>
      <w:r w:rsidR="00A929E8">
        <w:t>g</w:t>
      </w:r>
      <w:r w:rsidR="00964891">
        <w:t>odine</w:t>
      </w:r>
      <w:r w:rsidR="00A929E8">
        <w:t xml:space="preserve">, koja će </w:t>
      </w:r>
      <w:r w:rsidR="00A929E8">
        <w:lastRenderedPageBreak/>
        <w:t xml:space="preserve">se donijeti naknadno, a najkasnije s </w:t>
      </w:r>
      <w:r w:rsidR="00E51FF7">
        <w:t xml:space="preserve">dopunama i izmjenama, odnosno </w:t>
      </w:r>
      <w:r w:rsidR="00A929E8">
        <w:t>rebal</w:t>
      </w:r>
      <w:r w:rsidR="0043016D">
        <w:t>ansom financijskog plana za 2024</w:t>
      </w:r>
      <w:r w:rsidR="00A929E8">
        <w:t xml:space="preserve">. godinu. </w:t>
      </w:r>
    </w:p>
    <w:p w:rsidR="009B205B" w:rsidRPr="00D10A53" w:rsidRDefault="00C62533" w:rsidP="007B5B04">
      <w:pPr>
        <w:rPr>
          <w:color w:val="FF0000"/>
        </w:rPr>
      </w:pPr>
      <w:r>
        <w:tab/>
        <w:t>Zbog gotovinskog načel</w:t>
      </w:r>
      <w:r w:rsidR="00C85627">
        <w:t>a priznavanja prihoda nastao je</w:t>
      </w:r>
      <w:r w:rsidR="003A4AEF">
        <w:t xml:space="preserve"> </w:t>
      </w:r>
      <w:r>
        <w:t>manjak poslovanja po župan</w:t>
      </w:r>
      <w:r w:rsidR="00A919C9">
        <w:t>ijskim iz</w:t>
      </w:r>
      <w:r w:rsidR="00354999">
        <w:t>vorima financir</w:t>
      </w:r>
      <w:r w:rsidR="00C85627">
        <w:t>anja</w:t>
      </w:r>
      <w:r w:rsidR="0043016D">
        <w:t>.</w:t>
      </w:r>
      <w:r w:rsidR="00C85627">
        <w:t xml:space="preserve"> Županija je račune Osnovne škol</w:t>
      </w:r>
      <w:r w:rsidR="00A929E8">
        <w:t>e Ferdinan</w:t>
      </w:r>
      <w:r w:rsidR="00B12391">
        <w:t>dovac koji</w:t>
      </w:r>
      <w:r w:rsidR="0043016D">
        <w:t xml:space="preserve"> su se odnosili na troškove 2023</w:t>
      </w:r>
      <w:r w:rsidR="00B12391">
        <w:t>. godine</w:t>
      </w:r>
      <w:r w:rsidR="00C85627">
        <w:t xml:space="preserve"> </w:t>
      </w:r>
      <w:r w:rsidR="00B12391">
        <w:t xml:space="preserve">plaćala odmah kako su </w:t>
      </w:r>
      <w:r w:rsidR="004D28BF">
        <w:t xml:space="preserve"> </w:t>
      </w:r>
      <w:r w:rsidR="00B12391">
        <w:t>raču</w:t>
      </w:r>
      <w:r w:rsidR="0043016D">
        <w:t>ni stizali tijekom siječnja 2024</w:t>
      </w:r>
      <w:r w:rsidR="00B12391">
        <w:t xml:space="preserve">. godine. Svi računi su plaćeni </w:t>
      </w:r>
      <w:r w:rsidR="00D10A53">
        <w:t>zaključno sa 17. siječnjem 2024</w:t>
      </w:r>
      <w:r w:rsidR="00964891">
        <w:t xml:space="preserve">. </w:t>
      </w:r>
      <w:r w:rsidR="00AE1A66">
        <w:t>g</w:t>
      </w:r>
      <w:r w:rsidR="00964891">
        <w:t>o</w:t>
      </w:r>
      <w:r w:rsidR="003A4AEF">
        <w:t xml:space="preserve">dine. </w:t>
      </w:r>
      <w:r w:rsidR="00176582">
        <w:t>Ovim plaćanjima zatvoren je „metodološki manjak“ po županijskim izvorima financiranja.</w:t>
      </w:r>
    </w:p>
    <w:p w:rsidR="00A919C9" w:rsidRDefault="00A919C9" w:rsidP="009E4FB0">
      <w:pPr>
        <w:jc w:val="center"/>
      </w:pPr>
      <w:r>
        <w:t>IV</w:t>
      </w:r>
      <w:r w:rsidR="009E4FB0">
        <w:t>.</w:t>
      </w:r>
    </w:p>
    <w:p w:rsidR="00A919C9" w:rsidRDefault="00A919C9" w:rsidP="00C62533">
      <w:r>
        <w:tab/>
        <w:t>Ova Odluka stupa na snagu danom donošenja.</w:t>
      </w:r>
    </w:p>
    <w:p w:rsidR="00A919C9" w:rsidRDefault="00A919C9" w:rsidP="00C62533"/>
    <w:p w:rsidR="00A919C9" w:rsidRDefault="00A919C9" w:rsidP="00D10A53">
      <w:pPr>
        <w:pStyle w:val="Bezproreda"/>
        <w:jc w:val="center"/>
      </w:pPr>
      <w:r>
        <w:t>ŠKOLSKI ODBOR</w:t>
      </w:r>
    </w:p>
    <w:p w:rsidR="003A3BA1" w:rsidRDefault="00A919C9" w:rsidP="00D10A53">
      <w:pPr>
        <w:pStyle w:val="Bezproreda"/>
        <w:jc w:val="center"/>
      </w:pPr>
      <w:r>
        <w:t>OSNOVNE ŠKOLE FERDINANDOVAC</w:t>
      </w:r>
    </w:p>
    <w:p w:rsidR="00A919C9" w:rsidRDefault="00A919C9" w:rsidP="00C62533"/>
    <w:p w:rsidR="00A919C9" w:rsidRDefault="00A919C9" w:rsidP="00D10A53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7F7F20" w:rsidRDefault="00A919C9" w:rsidP="00D10A53">
      <w:pPr>
        <w:pStyle w:val="Bezproreda"/>
      </w:pPr>
      <w:r>
        <w:t xml:space="preserve">                                                                                                     </w:t>
      </w:r>
      <w:r w:rsidR="00A929E8">
        <w:t xml:space="preserve">                Vlasta Golub</w:t>
      </w:r>
    </w:p>
    <w:p w:rsidR="00D10A53" w:rsidRDefault="00D10A53" w:rsidP="00D10A53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sectPr w:rsidR="00D10A53" w:rsidSect="00C67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E6A7C"/>
    <w:multiLevelType w:val="hybridMultilevel"/>
    <w:tmpl w:val="B838AFF6"/>
    <w:lvl w:ilvl="0" w:tplc="DFB0F01A">
      <w:start w:val="15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37F8"/>
    <w:rsid w:val="00051315"/>
    <w:rsid w:val="0009058F"/>
    <w:rsid w:val="000C7937"/>
    <w:rsid w:val="000E22B7"/>
    <w:rsid w:val="00115287"/>
    <w:rsid w:val="00122B00"/>
    <w:rsid w:val="001332CE"/>
    <w:rsid w:val="00176582"/>
    <w:rsid w:val="001D1573"/>
    <w:rsid w:val="001D5EAE"/>
    <w:rsid w:val="00216499"/>
    <w:rsid w:val="00295349"/>
    <w:rsid w:val="002C04DD"/>
    <w:rsid w:val="002C4A0D"/>
    <w:rsid w:val="00324B11"/>
    <w:rsid w:val="00354999"/>
    <w:rsid w:val="003A3BA1"/>
    <w:rsid w:val="003A4AEF"/>
    <w:rsid w:val="003D14D8"/>
    <w:rsid w:val="003F582A"/>
    <w:rsid w:val="0040240D"/>
    <w:rsid w:val="004059F2"/>
    <w:rsid w:val="0043016D"/>
    <w:rsid w:val="004958A9"/>
    <w:rsid w:val="004B64A5"/>
    <w:rsid w:val="004D28BF"/>
    <w:rsid w:val="004D5E0C"/>
    <w:rsid w:val="00534170"/>
    <w:rsid w:val="00540C27"/>
    <w:rsid w:val="00550A72"/>
    <w:rsid w:val="0057083E"/>
    <w:rsid w:val="00574699"/>
    <w:rsid w:val="005832DD"/>
    <w:rsid w:val="005E207A"/>
    <w:rsid w:val="00653903"/>
    <w:rsid w:val="00684E6F"/>
    <w:rsid w:val="00754D57"/>
    <w:rsid w:val="0078679F"/>
    <w:rsid w:val="007A66C4"/>
    <w:rsid w:val="007B5B04"/>
    <w:rsid w:val="007C4E6A"/>
    <w:rsid w:val="007F7F20"/>
    <w:rsid w:val="00847A67"/>
    <w:rsid w:val="008C4018"/>
    <w:rsid w:val="008F0E91"/>
    <w:rsid w:val="00913951"/>
    <w:rsid w:val="00964891"/>
    <w:rsid w:val="00992A35"/>
    <w:rsid w:val="009B205B"/>
    <w:rsid w:val="009E4FB0"/>
    <w:rsid w:val="00A332DA"/>
    <w:rsid w:val="00A416FE"/>
    <w:rsid w:val="00A421FC"/>
    <w:rsid w:val="00A53CD0"/>
    <w:rsid w:val="00A637CB"/>
    <w:rsid w:val="00A919C9"/>
    <w:rsid w:val="00A929E8"/>
    <w:rsid w:val="00AE1A66"/>
    <w:rsid w:val="00AE58EF"/>
    <w:rsid w:val="00B12391"/>
    <w:rsid w:val="00B43155"/>
    <w:rsid w:val="00B6279B"/>
    <w:rsid w:val="00B71B9A"/>
    <w:rsid w:val="00C17FDF"/>
    <w:rsid w:val="00C209DB"/>
    <w:rsid w:val="00C40C6C"/>
    <w:rsid w:val="00C47CDA"/>
    <w:rsid w:val="00C53FE9"/>
    <w:rsid w:val="00C62533"/>
    <w:rsid w:val="00C637F8"/>
    <w:rsid w:val="00C63995"/>
    <w:rsid w:val="00C6754D"/>
    <w:rsid w:val="00C85627"/>
    <w:rsid w:val="00D01483"/>
    <w:rsid w:val="00D106F7"/>
    <w:rsid w:val="00D10A53"/>
    <w:rsid w:val="00D2562B"/>
    <w:rsid w:val="00E51FF7"/>
    <w:rsid w:val="00E62657"/>
    <w:rsid w:val="00EA5C26"/>
    <w:rsid w:val="00F46FA2"/>
    <w:rsid w:val="00FA5A8F"/>
    <w:rsid w:val="00FD0B2E"/>
    <w:rsid w:val="00FE0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4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A66C4"/>
    <w:pPr>
      <w:ind w:left="720"/>
      <w:contextualSpacing/>
    </w:pPr>
  </w:style>
  <w:style w:type="paragraph" w:styleId="Bezproreda">
    <w:name w:val="No Spacing"/>
    <w:uiPriority w:val="1"/>
    <w:qFormat/>
    <w:rsid w:val="00AE1A6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3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4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A6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1535A-AD62-4D7E-A709-1DDFFDA1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</dc:creator>
  <cp:lastModifiedBy>Dejan Jalžabetić</cp:lastModifiedBy>
  <cp:revision>75</cp:revision>
  <cp:lastPrinted>2024-03-04T13:12:00Z</cp:lastPrinted>
  <dcterms:created xsi:type="dcterms:W3CDTF">2018-03-25T06:58:00Z</dcterms:created>
  <dcterms:modified xsi:type="dcterms:W3CDTF">2024-03-04T13:12:00Z</dcterms:modified>
</cp:coreProperties>
</file>